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F5DF" w14:textId="77777777" w:rsidR="0088201B" w:rsidRDefault="00000000">
      <w:pPr>
        <w:jc w:val="center"/>
        <w:rPr>
          <w:b/>
          <w:bCs/>
        </w:rPr>
      </w:pPr>
      <w:r>
        <w:rPr>
          <w:b/>
          <w:bCs/>
        </w:rPr>
        <w:t>Propuesta</w:t>
      </w:r>
      <w:r>
        <w:rPr>
          <w:rStyle w:val="Refdenotaalpie"/>
          <w:b/>
          <w:bCs/>
        </w:rPr>
        <w:footnoteReference w:id="1"/>
      </w:r>
    </w:p>
    <w:p w14:paraId="76C3F3E3" w14:textId="77777777" w:rsidR="004A72EA" w:rsidRDefault="00000000" w:rsidP="004A72EA">
      <w:pPr>
        <w:jc w:val="center"/>
        <w:rPr>
          <w:b/>
          <w:bCs/>
          <w:sz w:val="28"/>
          <w:szCs w:val="28"/>
        </w:rPr>
      </w:pPr>
      <w:r w:rsidRPr="004A72EA">
        <w:rPr>
          <w:b/>
          <w:bCs/>
          <w:sz w:val="28"/>
          <w:szCs w:val="28"/>
        </w:rPr>
        <w:t xml:space="preserve">Congreso académico sobre la sexualidad en Guatemala: </w:t>
      </w:r>
    </w:p>
    <w:p w14:paraId="1BD6DEAF" w14:textId="2070CD91" w:rsidR="0088201B" w:rsidRPr="00D933B2" w:rsidRDefault="004A72EA" w:rsidP="00D933B2">
      <w:pPr>
        <w:jc w:val="center"/>
        <w:rPr>
          <w:b/>
          <w:bCs/>
          <w:sz w:val="28"/>
          <w:szCs w:val="28"/>
        </w:rPr>
      </w:pPr>
      <w:r w:rsidRPr="004A72EA">
        <w:rPr>
          <w:b/>
          <w:bCs/>
          <w:sz w:val="28"/>
          <w:szCs w:val="28"/>
        </w:rPr>
        <w:t>panorama actual y</w:t>
      </w:r>
      <w:r w:rsidR="00000000" w:rsidRPr="004A72EA">
        <w:rPr>
          <w:b/>
          <w:bCs/>
          <w:sz w:val="28"/>
          <w:szCs w:val="28"/>
        </w:rPr>
        <w:t xml:space="preserve"> perspectivas</w:t>
      </w:r>
    </w:p>
    <w:p w14:paraId="4C1AFEF3" w14:textId="77777777" w:rsidR="0088201B" w:rsidRPr="00D933B2" w:rsidRDefault="00000000">
      <w:pPr>
        <w:jc w:val="center"/>
        <w:rPr>
          <w:b/>
          <w:bCs/>
          <w:sz w:val="28"/>
          <w:szCs w:val="28"/>
        </w:rPr>
      </w:pPr>
      <w:r w:rsidRPr="00D933B2">
        <w:rPr>
          <w:b/>
          <w:bCs/>
          <w:sz w:val="28"/>
          <w:szCs w:val="28"/>
        </w:rPr>
        <w:t>Lo que no se nombra y si existe: sexualidades en Guatemala,</w:t>
      </w:r>
    </w:p>
    <w:p w14:paraId="74126734" w14:textId="77777777" w:rsidR="0088201B" w:rsidRDefault="00000000">
      <w:pPr>
        <w:jc w:val="center"/>
        <w:rPr>
          <w:b/>
          <w:bCs/>
          <w:sz w:val="28"/>
          <w:szCs w:val="28"/>
        </w:rPr>
      </w:pPr>
      <w:r w:rsidRPr="00D933B2">
        <w:rPr>
          <w:b/>
          <w:bCs/>
          <w:sz w:val="28"/>
          <w:szCs w:val="28"/>
        </w:rPr>
        <w:t>entre realidades, normas y derechos.</w:t>
      </w:r>
    </w:p>
    <w:p w14:paraId="2CF93C54" w14:textId="77777777" w:rsidR="0088201B" w:rsidRDefault="00000000">
      <w:pPr>
        <w:jc w:val="center"/>
        <w:rPr>
          <w:b/>
          <w:bCs/>
          <w:sz w:val="28"/>
          <w:szCs w:val="28"/>
        </w:rPr>
      </w:pPr>
      <w:r>
        <w:rPr>
          <w:b/>
          <w:bCs/>
          <w:sz w:val="28"/>
          <w:szCs w:val="28"/>
        </w:rPr>
        <w:t>12-14 de noviembre 2025</w:t>
      </w:r>
    </w:p>
    <w:p w14:paraId="393516BD" w14:textId="77777777" w:rsidR="0088201B" w:rsidRDefault="0088201B">
      <w:pPr>
        <w:jc w:val="both"/>
        <w:rPr>
          <w:b/>
          <w:bCs/>
          <w:sz w:val="24"/>
          <w:szCs w:val="24"/>
        </w:rPr>
      </w:pPr>
    </w:p>
    <w:p w14:paraId="1565052D" w14:textId="77777777" w:rsidR="0088201B" w:rsidRDefault="00000000">
      <w:pPr>
        <w:jc w:val="both"/>
        <w:rPr>
          <w:b/>
          <w:bCs/>
          <w:sz w:val="24"/>
          <w:szCs w:val="24"/>
        </w:rPr>
      </w:pPr>
      <w:r>
        <w:rPr>
          <w:b/>
          <w:bCs/>
          <w:sz w:val="24"/>
          <w:szCs w:val="24"/>
        </w:rPr>
        <w:t>Introducción</w:t>
      </w:r>
    </w:p>
    <w:p w14:paraId="151258CC" w14:textId="71127EE8" w:rsidR="0088201B" w:rsidRDefault="00000000">
      <w:pPr>
        <w:jc w:val="both"/>
        <w:rPr>
          <w:sz w:val="24"/>
          <w:szCs w:val="24"/>
        </w:rPr>
      </w:pPr>
      <w:r>
        <w:rPr>
          <w:sz w:val="24"/>
          <w:szCs w:val="24"/>
        </w:rPr>
        <w:t xml:space="preserve">Los espacios y las condiciones para el intercambio de ideas, con cierto nivel de profundidad, sobre la sexualidad y los derechos sexuales y reproductivos continúan </w:t>
      </w:r>
      <w:proofErr w:type="spellStart"/>
      <w:r>
        <w:rPr>
          <w:sz w:val="24"/>
          <w:szCs w:val="24"/>
        </w:rPr>
        <w:t>siendoescasos</w:t>
      </w:r>
      <w:proofErr w:type="spellEnd"/>
      <w:r>
        <w:rPr>
          <w:sz w:val="24"/>
          <w:szCs w:val="24"/>
        </w:rPr>
        <w:t xml:space="preserve"> y dispersos.  En este </w:t>
      </w:r>
      <w:proofErr w:type="spellStart"/>
      <w:proofErr w:type="gramStart"/>
      <w:r>
        <w:rPr>
          <w:sz w:val="24"/>
          <w:szCs w:val="24"/>
        </w:rPr>
        <w:t>contexto,la</w:t>
      </w:r>
      <w:proofErr w:type="spellEnd"/>
      <w:proofErr w:type="gramEnd"/>
      <w:r>
        <w:rPr>
          <w:sz w:val="24"/>
          <w:szCs w:val="24"/>
        </w:rPr>
        <w:t xml:space="preserve"> Mesa Nacional por la Educación Integral en Sexualidad (MENEIS) ha realizado dos Jornadas académicas denominadas #HablemosloqueEIS, en el 2021 y en el 2023. Estas iniciativas han generado resultados relevantes, ya que </w:t>
      </w:r>
      <w:proofErr w:type="spellStart"/>
      <w:r>
        <w:rPr>
          <w:sz w:val="24"/>
          <w:szCs w:val="24"/>
        </w:rPr>
        <w:t>hanpermitido</w:t>
      </w:r>
      <w:proofErr w:type="spellEnd"/>
      <w:r>
        <w:rPr>
          <w:sz w:val="24"/>
          <w:szCs w:val="24"/>
        </w:rPr>
        <w:t xml:space="preserve"> abrir discusiones, conocer cómo se aborda la sexualidad en Guatemala y otros países, así como analizar los desafíos políticos, institucionales y culturales para avanzar en esta materia, dada la agenda regresiva en términos de derechos humanos y de derechos sexuales en particular.</w:t>
      </w:r>
    </w:p>
    <w:p w14:paraId="7AC558B4" w14:textId="02EBAB12" w:rsidR="0088201B" w:rsidRDefault="00000000">
      <w:pPr>
        <w:jc w:val="both"/>
        <w:rPr>
          <w:sz w:val="24"/>
          <w:szCs w:val="24"/>
          <w:highlight w:val="yellow"/>
        </w:rPr>
      </w:pPr>
      <w:r>
        <w:rPr>
          <w:sz w:val="24"/>
          <w:szCs w:val="24"/>
        </w:rPr>
        <w:t>En esta oportunidad se presenta la propuesta de llevar a cabo un Congreso bajo el titulo…</w:t>
      </w:r>
      <w:r>
        <w:rPr>
          <w:sz w:val="24"/>
          <w:szCs w:val="24"/>
          <w:highlight w:val="yellow"/>
        </w:rPr>
        <w:t xml:space="preserve"> Lo que no se nombra y sí existe: sexualidades en Guatemala, entre realidades, normas y derechos</w:t>
      </w:r>
      <w:r>
        <w:rPr>
          <w:sz w:val="24"/>
          <w:szCs w:val="24"/>
        </w:rPr>
        <w:t xml:space="preserve"> como una forma de reconocer los diez años de trabajo ininterrumpido de la MENEIS, espacio donde convergen distintos esfuerzos organizativos cuyo propósito central es promover la EIS como un derecho humano, prevenir la violencia sexual, los embarazos en niñas y adolescentes, asimismo, reconocer la diversidad </w:t>
      </w:r>
      <w:proofErr w:type="spellStart"/>
      <w:r>
        <w:rPr>
          <w:sz w:val="24"/>
          <w:szCs w:val="24"/>
        </w:rPr>
        <w:t>sexogenérica</w:t>
      </w:r>
      <w:proofErr w:type="spellEnd"/>
      <w:r>
        <w:rPr>
          <w:sz w:val="24"/>
          <w:szCs w:val="24"/>
        </w:rPr>
        <w:t>, desde una perspectiva histórica, interseccional y socioterritorial.</w:t>
      </w:r>
    </w:p>
    <w:p w14:paraId="6B010473" w14:textId="1E155C07" w:rsidR="0088201B" w:rsidRDefault="00000000">
      <w:pPr>
        <w:jc w:val="both"/>
        <w:rPr>
          <w:sz w:val="24"/>
          <w:szCs w:val="24"/>
        </w:rPr>
      </w:pPr>
      <w:r>
        <w:rPr>
          <w:sz w:val="24"/>
          <w:szCs w:val="24"/>
        </w:rPr>
        <w:t xml:space="preserve">Esta iniciativa es convocada </w:t>
      </w:r>
      <w:proofErr w:type="spellStart"/>
      <w:r>
        <w:rPr>
          <w:sz w:val="24"/>
          <w:szCs w:val="24"/>
        </w:rPr>
        <w:t>porMENEIS</w:t>
      </w:r>
      <w:proofErr w:type="spellEnd"/>
      <w:r>
        <w:rPr>
          <w:sz w:val="24"/>
          <w:szCs w:val="24"/>
        </w:rPr>
        <w:t xml:space="preserve"> y están invitadas colectivas, organizaciones, asociaciones, instituciones que deseen sumarse para organizar un espacio seguro, con alta calidad académica, y a la vez lúdico y con perspectiva política porque colocar esta temática en el centro, en una sociedad que sigue siendo conservadora e indiferente</w:t>
      </w:r>
      <w:r w:rsidR="00D933B2">
        <w:rPr>
          <w:sz w:val="24"/>
          <w:szCs w:val="24"/>
        </w:rPr>
        <w:t xml:space="preserve"> </w:t>
      </w:r>
      <w:r>
        <w:rPr>
          <w:sz w:val="24"/>
          <w:szCs w:val="24"/>
        </w:rPr>
        <w:t>cuando se trata de reconocer la sexualidad como una dimensión de la vida de los seres humanos, sigue siendo un reto.</w:t>
      </w:r>
    </w:p>
    <w:p w14:paraId="2E20CB01" w14:textId="77777777" w:rsidR="0088201B" w:rsidRDefault="0088201B">
      <w:pPr>
        <w:jc w:val="both"/>
        <w:rPr>
          <w:b/>
          <w:bCs/>
          <w:sz w:val="24"/>
          <w:szCs w:val="24"/>
        </w:rPr>
      </w:pPr>
    </w:p>
    <w:p w14:paraId="7EB6A786" w14:textId="77777777" w:rsidR="0088201B" w:rsidRDefault="0088201B">
      <w:pPr>
        <w:jc w:val="both"/>
        <w:rPr>
          <w:b/>
          <w:bCs/>
          <w:sz w:val="24"/>
          <w:szCs w:val="24"/>
        </w:rPr>
      </w:pPr>
    </w:p>
    <w:p w14:paraId="63137340" w14:textId="77777777" w:rsidR="0088201B" w:rsidRDefault="00000000">
      <w:pPr>
        <w:jc w:val="both"/>
        <w:rPr>
          <w:b/>
          <w:bCs/>
          <w:sz w:val="24"/>
          <w:szCs w:val="24"/>
        </w:rPr>
      </w:pPr>
      <w:r>
        <w:rPr>
          <w:b/>
          <w:bCs/>
          <w:sz w:val="24"/>
          <w:szCs w:val="24"/>
        </w:rPr>
        <w:t>Justificación</w:t>
      </w:r>
    </w:p>
    <w:p w14:paraId="118EA171" w14:textId="2C71E559" w:rsidR="0088201B" w:rsidRDefault="00000000">
      <w:pPr>
        <w:jc w:val="both"/>
        <w:rPr>
          <w:sz w:val="24"/>
          <w:szCs w:val="24"/>
        </w:rPr>
      </w:pPr>
      <w:r>
        <w:rPr>
          <w:sz w:val="24"/>
          <w:szCs w:val="24"/>
        </w:rPr>
        <w:t xml:space="preserve">En Guatemala, el abordaje integral de la sexualidad sigue siendo una deuda pendiente en la academia, en el ámbito educativo, en las políticas públicas y en la sociedad en general.  </w:t>
      </w:r>
    </w:p>
    <w:p w14:paraId="01845A2E" w14:textId="77777777" w:rsidR="0088201B" w:rsidRDefault="00000000">
      <w:pPr>
        <w:jc w:val="both"/>
        <w:rPr>
          <w:sz w:val="24"/>
          <w:szCs w:val="24"/>
        </w:rPr>
      </w:pPr>
      <w:r>
        <w:rPr>
          <w:sz w:val="24"/>
          <w:szCs w:val="24"/>
        </w:rPr>
        <w:t xml:space="preserve">La sexualidad es un aspecto fundamental en la vida de las personas, y es más que sólo hablar de sexo. Se vive y expresa por medio de pensamientos, fantasías, deseos, creencias, valores, comportamientos y relaciones. Está inmersa en un entramado de factores biológicos, psicológicos, sociales, económicos, políticos, culturales, éticos, legales, históricos, religiosos y espirituales.   </w:t>
      </w:r>
    </w:p>
    <w:p w14:paraId="22CD690D" w14:textId="42FE87B8" w:rsidR="0088201B" w:rsidRDefault="00000000">
      <w:pPr>
        <w:jc w:val="both"/>
        <w:rPr>
          <w:sz w:val="24"/>
          <w:szCs w:val="24"/>
        </w:rPr>
      </w:pPr>
      <w:r>
        <w:rPr>
          <w:sz w:val="24"/>
          <w:szCs w:val="24"/>
        </w:rPr>
        <w:t>Sin embargo, está rodeada de tabúes, prejuicios y verdades a medias que limitan el potencial de las personas que se enfrentan a restricciones, limitaciones, normas tanto sociales, como religiosas y jurídicas, construidas y sostenidas desde posicionamientos conservadores.</w:t>
      </w:r>
    </w:p>
    <w:p w14:paraId="36FA2376" w14:textId="77777777" w:rsidR="0088201B" w:rsidRDefault="00000000">
      <w:pPr>
        <w:jc w:val="both"/>
        <w:rPr>
          <w:sz w:val="24"/>
          <w:szCs w:val="24"/>
        </w:rPr>
      </w:pPr>
      <w:r>
        <w:rPr>
          <w:sz w:val="24"/>
          <w:szCs w:val="24"/>
        </w:rPr>
        <w:t>En el país hay una historia de aproximaciones al análisis de la sexualidad a partir de finales de los años sesenta, cuando se creó el programa de educación para el desarrollo humano, 1968 en la Universidad del Valle de Guatemala; en 1978 se conformó la Asociación Guatemalteca de Educación Sexual, con el apoyo de la Asociación Mexicana de Sexología, posteriormente APROFAM también empezó a impartir charlas a adolescentes y a promover el uso de métodos anticonceptivos.</w:t>
      </w:r>
    </w:p>
    <w:p w14:paraId="30366B6D" w14:textId="39A9712A" w:rsidR="0088201B" w:rsidRDefault="00000000">
      <w:pPr>
        <w:jc w:val="both"/>
        <w:rPr>
          <w:sz w:val="24"/>
          <w:szCs w:val="24"/>
        </w:rPr>
      </w:pPr>
      <w:r>
        <w:rPr>
          <w:sz w:val="24"/>
          <w:szCs w:val="24"/>
        </w:rPr>
        <w:t>En 1992-1993 hubo un intento fallido de aprobar una Ley de población y desarrollo en el marco de las discusiones que se venían realizando y que culminaron en la Conferencia Mundial de Población y Desarrollo, 1994 (El Cairo), colocando en el ámbito internacional la importancia de reconocer la educación sexual como un derecho humano.</w:t>
      </w:r>
    </w:p>
    <w:p w14:paraId="273FC8B8" w14:textId="77777777" w:rsidR="0088201B" w:rsidRDefault="00000000">
      <w:pPr>
        <w:jc w:val="both"/>
        <w:rPr>
          <w:sz w:val="24"/>
          <w:szCs w:val="24"/>
        </w:rPr>
      </w:pPr>
      <w:r>
        <w:rPr>
          <w:sz w:val="24"/>
          <w:szCs w:val="24"/>
        </w:rPr>
        <w:t>En el 2000 se aprobó la Ley General para el Combate del VIH y SIDA, y en el 2001 el Congreso de la República aprobó la Ley de Desarrollo social que contiene algunos aspectos relacionados con la educación sexual, que se complementa con la Ley de acceso universal a los métodos anticonceptivos aprobada en el 2005.</w:t>
      </w:r>
    </w:p>
    <w:p w14:paraId="2D2FB709" w14:textId="77777777" w:rsidR="0088201B" w:rsidRDefault="00000000">
      <w:pPr>
        <w:jc w:val="both"/>
        <w:rPr>
          <w:sz w:val="24"/>
          <w:szCs w:val="24"/>
        </w:rPr>
      </w:pPr>
      <w:r>
        <w:rPr>
          <w:sz w:val="24"/>
          <w:szCs w:val="24"/>
        </w:rPr>
        <w:t>Otro avance relevante se dio a partir de la Declaración Prevenir con Educación, 2008, que planteó la necesidad de la educación integral en sexualidad como una forma de prevenir el VIH-SIDA, pero también para enfrentar situaciones como los embarazos en adolescentes y la violencia sexual, asignando responsabilidades tanto al Ministerio de Educación, como al Ministerio de Salud Pública y Asistencia Social.</w:t>
      </w:r>
    </w:p>
    <w:p w14:paraId="4F0292A3" w14:textId="34673180" w:rsidR="0088201B" w:rsidRDefault="00000000">
      <w:pPr>
        <w:jc w:val="both"/>
        <w:rPr>
          <w:sz w:val="24"/>
          <w:szCs w:val="24"/>
        </w:rPr>
      </w:pPr>
      <w:r>
        <w:rPr>
          <w:sz w:val="24"/>
          <w:szCs w:val="24"/>
        </w:rPr>
        <w:t xml:space="preserve">Es en ese entorno, que se impulsa una estrategia para abordar la educación sexual y la prevención de la violencia sexual en las aulas, en el caso del MINEDUC y de los </w:t>
      </w:r>
      <w:r>
        <w:rPr>
          <w:sz w:val="24"/>
          <w:szCs w:val="24"/>
        </w:rPr>
        <w:lastRenderedPageBreak/>
        <w:t>espacios amigables, en el MSPAS.  También se crean organizaciones, asociaciones y colectivas que tienen el propósito de enfocarse en atender la demanda de información, formación y servicios relacionados con la sexualidad y los derechos sexuales y reproductivos. Estos esfuerzos han enfrentado numerosas dificultades políticas, institucionales, técnicas e ideológicas por lo que el balance en esta materia sigue siendo negativo.</w:t>
      </w:r>
    </w:p>
    <w:p w14:paraId="06CDFDFD" w14:textId="77777777" w:rsidR="0088201B" w:rsidRDefault="00000000">
      <w:pPr>
        <w:jc w:val="both"/>
        <w:rPr>
          <w:sz w:val="24"/>
          <w:szCs w:val="24"/>
        </w:rPr>
      </w:pPr>
      <w:r>
        <w:rPr>
          <w:sz w:val="24"/>
          <w:szCs w:val="24"/>
        </w:rPr>
        <w:t>Uno de esos esfuerzos fue la creación de la Mesa Nacional por la Educación Integral en Sexualidad-MENEIS en el mes de septiembre 2015. Este es un espacio colaborativo y multisectorial que reúne a organizaciones de la sociedad civil, actores académicos, instituciones estatales y organismos internacionales. Conformada inicialmente a partir de la convocatoria de la Escuela de Formación de Profesores de Enseñanza Media de la Universidad de San Carlos de Guatemala (USAC), la Mesa se ha consolidado como un referente para impulsar el derecho a una educación integral en sexualidad (EIS) desde un enfoque de derechos humanos, equidad de género e interculturalidad.</w:t>
      </w:r>
    </w:p>
    <w:p w14:paraId="27957B73" w14:textId="77777777" w:rsidR="0088201B" w:rsidRDefault="00000000">
      <w:pPr>
        <w:jc w:val="both"/>
        <w:rPr>
          <w:sz w:val="24"/>
          <w:szCs w:val="24"/>
        </w:rPr>
      </w:pPr>
      <w:r>
        <w:rPr>
          <w:sz w:val="24"/>
          <w:szCs w:val="24"/>
        </w:rPr>
        <w:t>Además de fomentar el debate y la sensibilización sobre temas de sexualidad, género y derechos, la MENEIS cumple una doble función: por un lado, promueve la formación de docentes, educadores y servidores/as públicos (por ejemplo personal de salud, del Ministerio de Gobernación, municipalidades) a través de iniciativas como diplomados y talleres, y por otro, actúa como un espacio de incidencia para la construcción de políticas y estrategias públicas, así como de auditoría social. Esto se traduce en la creación de entornos virtuales y presenciales de interaprendizaje, el fortalecimiento de capacidades y la articulación de agendas de investigación que aborden desafíos sociales críticos, como la prevención de embarazos en adolescentes y la reducción de la violencia basada en género.</w:t>
      </w:r>
    </w:p>
    <w:p w14:paraId="2CADA885" w14:textId="77777777" w:rsidR="0088201B" w:rsidRDefault="00000000">
      <w:pPr>
        <w:jc w:val="both"/>
        <w:rPr>
          <w:sz w:val="24"/>
          <w:szCs w:val="24"/>
        </w:rPr>
      </w:pPr>
      <w:r>
        <w:rPr>
          <w:sz w:val="24"/>
          <w:szCs w:val="24"/>
        </w:rPr>
        <w:t>En síntesis, MENEIS es una plataforma estratégica que busca transformar el panorama de la educación sexual en Guatemala, asegurando que las intervenciones y políticas se fundamenten en evidencia, reconozcan la diversidad cultural y promuevan la igualdad de oportunidades para toda la población. Su trabajo ha permitido que temas tradicionalmente considerados tabú se integren, aunque aún de manera insuficiente, en la agenda pública y educativa, en la sociedad guatemalteca.</w:t>
      </w:r>
    </w:p>
    <w:p w14:paraId="2180BB88" w14:textId="77777777" w:rsidR="0088201B" w:rsidRDefault="00000000">
      <w:pPr>
        <w:jc w:val="both"/>
        <w:rPr>
          <w:sz w:val="24"/>
          <w:szCs w:val="24"/>
        </w:rPr>
      </w:pPr>
      <w:r>
        <w:rPr>
          <w:sz w:val="24"/>
          <w:szCs w:val="24"/>
        </w:rPr>
        <w:t>En el 2025 se cumplen diez años del inicio de este espacio. Una década desafiante que inició con una relativa apertura en el ámbito institucional, a un clima adverso para nombrar siquiera la EIS y demandar la garantía de su cumplimiento.</w:t>
      </w:r>
    </w:p>
    <w:p w14:paraId="42304F3F" w14:textId="77777777" w:rsidR="0088201B" w:rsidRDefault="0088201B">
      <w:pPr>
        <w:jc w:val="both"/>
      </w:pPr>
    </w:p>
    <w:p w14:paraId="4DF52DB6" w14:textId="77777777" w:rsidR="004A72EA" w:rsidRDefault="004A72EA">
      <w:pPr>
        <w:spacing w:before="240" w:after="240"/>
        <w:rPr>
          <w:b/>
          <w:bCs/>
          <w:sz w:val="24"/>
          <w:szCs w:val="24"/>
        </w:rPr>
      </w:pPr>
    </w:p>
    <w:p w14:paraId="24F52D38" w14:textId="20CF5B7A" w:rsidR="0088201B" w:rsidRDefault="00000000">
      <w:pPr>
        <w:spacing w:before="240" w:after="240"/>
        <w:rPr>
          <w:b/>
          <w:bCs/>
          <w:sz w:val="24"/>
          <w:szCs w:val="24"/>
        </w:rPr>
      </w:pPr>
      <w:r>
        <w:rPr>
          <w:b/>
          <w:bCs/>
          <w:sz w:val="24"/>
          <w:szCs w:val="24"/>
        </w:rPr>
        <w:t>Objetivos</w:t>
      </w:r>
    </w:p>
    <w:p w14:paraId="6CD471B7" w14:textId="77777777" w:rsidR="0088201B" w:rsidRDefault="00000000">
      <w:pPr>
        <w:spacing w:before="240" w:after="240"/>
        <w:jc w:val="both"/>
        <w:rPr>
          <w:sz w:val="24"/>
          <w:szCs w:val="24"/>
        </w:rPr>
      </w:pPr>
      <w:r>
        <w:rPr>
          <w:sz w:val="24"/>
          <w:szCs w:val="24"/>
        </w:rPr>
        <w:lastRenderedPageBreak/>
        <w:t>1.</w:t>
      </w:r>
      <w:r>
        <w:rPr>
          <w:rFonts w:ascii="Times New Roman" w:eastAsia="Times New Roman" w:hAnsi="Times New Roman" w:cs="Times New Roman"/>
          <w:sz w:val="14"/>
          <w:szCs w:val="14"/>
        </w:rPr>
        <w:t xml:space="preserve">    </w:t>
      </w:r>
      <w:r>
        <w:rPr>
          <w:sz w:val="24"/>
          <w:szCs w:val="24"/>
        </w:rPr>
        <w:t>Conocer los principales debates conceptuales, políticos y discursivos en torno a la educación integral en sexualidad, en la actual coyuntura.</w:t>
      </w:r>
    </w:p>
    <w:p w14:paraId="2D1B7869" w14:textId="77777777" w:rsidR="0088201B" w:rsidRDefault="00000000">
      <w:pPr>
        <w:spacing w:before="240" w:after="240"/>
        <w:jc w:val="both"/>
        <w:rPr>
          <w:sz w:val="24"/>
          <w:szCs w:val="24"/>
        </w:rPr>
      </w:pPr>
      <w:r>
        <w:rPr>
          <w:sz w:val="24"/>
          <w:szCs w:val="24"/>
        </w:rPr>
        <w:t>2.</w:t>
      </w:r>
      <w:r>
        <w:rPr>
          <w:rFonts w:ascii="Times New Roman" w:eastAsia="Times New Roman" w:hAnsi="Times New Roman" w:cs="Times New Roman"/>
          <w:sz w:val="14"/>
          <w:szCs w:val="14"/>
        </w:rPr>
        <w:t xml:space="preserve">    </w:t>
      </w:r>
      <w:r>
        <w:rPr>
          <w:sz w:val="24"/>
          <w:szCs w:val="24"/>
        </w:rPr>
        <w:t>Intercambiar experiencias, y hacer una puesta en común de los desafíos sociales e institucionales que implica la implementación de la EIS en Guatemala.</w:t>
      </w:r>
    </w:p>
    <w:p w14:paraId="35F9A1A8" w14:textId="77777777" w:rsidR="0088201B" w:rsidRDefault="00000000">
      <w:pPr>
        <w:spacing w:after="240" w:line="240" w:lineRule="auto"/>
        <w:jc w:val="both"/>
        <w:rPr>
          <w:rFonts w:ascii="Arial Black" w:eastAsia="Times New Roman" w:hAnsi="Arial Black"/>
          <w:sz w:val="32"/>
          <w:szCs w:val="32"/>
        </w:rPr>
      </w:pPr>
      <w:r>
        <w:rPr>
          <w:sz w:val="24"/>
          <w:szCs w:val="24"/>
        </w:rPr>
        <w:t>3.</w:t>
      </w:r>
      <w:r>
        <w:rPr>
          <w:rFonts w:ascii="Times New Roman" w:eastAsia="Times New Roman" w:hAnsi="Times New Roman" w:cs="Times New Roman"/>
          <w:sz w:val="14"/>
          <w:szCs w:val="14"/>
        </w:rPr>
        <w:t xml:space="preserve">    </w:t>
      </w:r>
      <w:r>
        <w:rPr>
          <w:sz w:val="24"/>
          <w:szCs w:val="24"/>
        </w:rPr>
        <w:t>Reconocer los aportes en diversos ejes de acción para promover el derecho a la EIS en Guatemala, en perspectiva socioterritorial.</w:t>
      </w:r>
      <w:r>
        <w:rPr>
          <w:rFonts w:ascii="Arial Black" w:eastAsia="Times New Roman" w:hAnsi="Arial Black"/>
          <w:sz w:val="32"/>
          <w:szCs w:val="32"/>
        </w:rPr>
        <w:t xml:space="preserve"> </w:t>
      </w:r>
    </w:p>
    <w:p w14:paraId="6B2701E0" w14:textId="77777777" w:rsidR="0088201B" w:rsidRDefault="00000000">
      <w:pPr>
        <w:spacing w:after="240" w:line="240" w:lineRule="auto"/>
        <w:jc w:val="both"/>
        <w:rPr>
          <w:rFonts w:eastAsia="Times New Roman"/>
          <w:sz w:val="24"/>
          <w:szCs w:val="24"/>
        </w:rPr>
      </w:pPr>
      <w:r>
        <w:rPr>
          <w:rFonts w:eastAsia="Times New Roman"/>
          <w:sz w:val="24"/>
          <w:szCs w:val="24"/>
        </w:rPr>
        <w:t>4. Identificar rutas y acciones a seguir en el mediano y largo plazo para sostener y consolidar la EIS en el país, tanto en el ámbito social, comunitario, como institucional.</w:t>
      </w:r>
    </w:p>
    <w:p w14:paraId="11848BD5" w14:textId="77777777" w:rsidR="0088201B" w:rsidRDefault="0088201B">
      <w:pPr>
        <w:rPr>
          <w:b/>
          <w:bCs/>
        </w:rPr>
      </w:pPr>
    </w:p>
    <w:p w14:paraId="20861F1D" w14:textId="77777777" w:rsidR="0088201B" w:rsidRDefault="00000000">
      <w:pPr>
        <w:rPr>
          <w:b/>
          <w:bCs/>
        </w:rPr>
      </w:pPr>
      <w:r>
        <w:rPr>
          <w:b/>
          <w:bCs/>
        </w:rPr>
        <w:t>Ejes temáticos</w:t>
      </w:r>
    </w:p>
    <w:p w14:paraId="6C88E35A" w14:textId="77777777" w:rsidR="0088201B" w:rsidRDefault="00000000">
      <w:pPr>
        <w:pStyle w:val="Prrafodelista"/>
        <w:numPr>
          <w:ilvl w:val="0"/>
          <w:numId w:val="1"/>
        </w:numPr>
      </w:pPr>
      <w:r>
        <w:t>Aspectos conceptuales de la Sexualidad:</w:t>
      </w:r>
    </w:p>
    <w:p w14:paraId="45B061C4" w14:textId="51E78984" w:rsidR="0088201B" w:rsidRDefault="00000000">
      <w:pPr>
        <w:pStyle w:val="Prrafodelista"/>
        <w:numPr>
          <w:ilvl w:val="0"/>
          <w:numId w:val="2"/>
        </w:numPr>
      </w:pPr>
      <w:r>
        <w:t>perspectivas sociológicas, antropológicas, psicológicas, pedagógicas jurídicas</w:t>
      </w:r>
      <w:r>
        <w:rPr>
          <w:b/>
          <w:bCs/>
        </w:rPr>
        <w:t xml:space="preserve"> </w:t>
      </w:r>
      <w:r>
        <w:t>(el sistema patriarcal, socioracial, heterosexual)</w:t>
      </w:r>
    </w:p>
    <w:p w14:paraId="4CBB4F5D" w14:textId="77777777" w:rsidR="0088201B" w:rsidRDefault="00000000">
      <w:pPr>
        <w:pStyle w:val="Prrafodelista"/>
        <w:numPr>
          <w:ilvl w:val="0"/>
          <w:numId w:val="2"/>
        </w:numPr>
      </w:pPr>
      <w:r>
        <w:t>Sexualidad y salud psicosocial: Impacto, tabúes, bienestar emocional y terapia</w:t>
      </w:r>
    </w:p>
    <w:p w14:paraId="783F0243" w14:textId="77777777" w:rsidR="0088201B" w:rsidRDefault="00000000">
      <w:pPr>
        <w:pStyle w:val="Prrafodelista"/>
        <w:numPr>
          <w:ilvl w:val="0"/>
          <w:numId w:val="2"/>
        </w:numPr>
      </w:pPr>
      <w:r>
        <w:t>Sexualidad y personas con discapacidad</w:t>
      </w:r>
    </w:p>
    <w:p w14:paraId="5DB30BF1" w14:textId="77777777" w:rsidR="0088201B" w:rsidRDefault="00000000">
      <w:pPr>
        <w:pStyle w:val="Prrafodelista"/>
        <w:numPr>
          <w:ilvl w:val="0"/>
          <w:numId w:val="2"/>
        </w:numPr>
      </w:pPr>
      <w:r>
        <w:t>Sexualidad en clave intra/intercultural</w:t>
      </w:r>
    </w:p>
    <w:p w14:paraId="1CF21171" w14:textId="77777777" w:rsidR="0088201B" w:rsidRDefault="0088201B">
      <w:pPr>
        <w:pStyle w:val="Prrafodelista"/>
        <w:ind w:left="1440"/>
      </w:pPr>
    </w:p>
    <w:p w14:paraId="494FD05B" w14:textId="77777777" w:rsidR="0088201B" w:rsidRDefault="00000000">
      <w:pPr>
        <w:pStyle w:val="Prrafodelista"/>
        <w:numPr>
          <w:ilvl w:val="0"/>
          <w:numId w:val="1"/>
        </w:numPr>
      </w:pPr>
      <w:r>
        <w:t xml:space="preserve">Sexualidad en perspectiva política, social e institucional:  </w:t>
      </w:r>
    </w:p>
    <w:p w14:paraId="0E69F5BD" w14:textId="77777777" w:rsidR="0088201B" w:rsidRDefault="00000000">
      <w:pPr>
        <w:pStyle w:val="Prrafodelista"/>
        <w:numPr>
          <w:ilvl w:val="0"/>
          <w:numId w:val="3"/>
        </w:numPr>
      </w:pPr>
      <w:r>
        <w:rPr>
          <w:rFonts w:eastAsia="Times New Roman"/>
          <w:color w:val="000000"/>
        </w:rPr>
        <w:t>La sexualidad, como la abordan las diversas instituciones:</w:t>
      </w:r>
    </w:p>
    <w:p w14:paraId="657CA08F" w14:textId="77777777" w:rsidR="0088201B" w:rsidRDefault="00000000">
      <w:pPr>
        <w:pStyle w:val="Prrafodelista"/>
        <w:numPr>
          <w:ilvl w:val="1"/>
          <w:numId w:val="3"/>
        </w:numPr>
      </w:pPr>
      <w:r>
        <w:t>Las familias</w:t>
      </w:r>
    </w:p>
    <w:p w14:paraId="30D2167C" w14:textId="77777777" w:rsidR="0088201B" w:rsidRDefault="00000000">
      <w:pPr>
        <w:pStyle w:val="Prrafodelista"/>
        <w:numPr>
          <w:ilvl w:val="1"/>
          <w:numId w:val="3"/>
        </w:numPr>
      </w:pPr>
      <w:r>
        <w:t>La religión</w:t>
      </w:r>
    </w:p>
    <w:p w14:paraId="7D35BD06" w14:textId="77777777" w:rsidR="0088201B" w:rsidRDefault="00000000">
      <w:pPr>
        <w:pStyle w:val="Prrafodelista"/>
        <w:numPr>
          <w:ilvl w:val="1"/>
          <w:numId w:val="3"/>
        </w:numPr>
      </w:pPr>
      <w:r>
        <w:t>El sistema educativo</w:t>
      </w:r>
    </w:p>
    <w:p w14:paraId="512848C9" w14:textId="77777777" w:rsidR="0088201B" w:rsidRDefault="00000000">
      <w:pPr>
        <w:pStyle w:val="Prrafodelista"/>
        <w:numPr>
          <w:ilvl w:val="1"/>
          <w:numId w:val="3"/>
        </w:numPr>
      </w:pPr>
      <w:r>
        <w:t>El sistema legal</w:t>
      </w:r>
    </w:p>
    <w:p w14:paraId="31194CB7" w14:textId="77777777" w:rsidR="0088201B" w:rsidRDefault="00000000">
      <w:pPr>
        <w:pStyle w:val="Prrafodelista"/>
        <w:numPr>
          <w:ilvl w:val="1"/>
          <w:numId w:val="3"/>
        </w:numPr>
      </w:pPr>
      <w:r>
        <w:t>El sistema de salud</w:t>
      </w:r>
    </w:p>
    <w:p w14:paraId="7EEC121D" w14:textId="77777777" w:rsidR="0088201B" w:rsidRDefault="00000000">
      <w:pPr>
        <w:pStyle w:val="Prrafodelista"/>
        <w:numPr>
          <w:ilvl w:val="0"/>
          <w:numId w:val="3"/>
        </w:numPr>
      </w:pPr>
      <w:r>
        <w:rPr>
          <w:rFonts w:eastAsia="Times New Roman"/>
          <w:color w:val="000000"/>
        </w:rPr>
        <w:t>La sexualidad bajo la lupa en la coyuntura actual, los desafíos ante la regresión conservadora en Latinoamérica</w:t>
      </w:r>
      <w:r>
        <w:t xml:space="preserve"> y en Guatemala</w:t>
      </w:r>
    </w:p>
    <w:p w14:paraId="17F9973E" w14:textId="77777777" w:rsidR="0088201B" w:rsidRDefault="00000000">
      <w:pPr>
        <w:pStyle w:val="Prrafodelista"/>
        <w:numPr>
          <w:ilvl w:val="0"/>
          <w:numId w:val="3"/>
        </w:numPr>
      </w:pPr>
      <w:r>
        <w:t>¿Cómo desafiar el silencio cultural en torno a la sexualidad?</w:t>
      </w:r>
    </w:p>
    <w:p w14:paraId="3AA89381" w14:textId="77777777" w:rsidR="0088201B" w:rsidRDefault="00000000">
      <w:pPr>
        <w:pStyle w:val="Prrafodelista"/>
        <w:numPr>
          <w:ilvl w:val="1"/>
          <w:numId w:val="3"/>
        </w:numPr>
      </w:pPr>
      <w:r>
        <w:t xml:space="preserve">la EIS avances y retos </w:t>
      </w:r>
    </w:p>
    <w:p w14:paraId="4828B152" w14:textId="75E2BBC9" w:rsidR="0088201B" w:rsidRDefault="00000000">
      <w:pPr>
        <w:pStyle w:val="Prrafodelista"/>
        <w:numPr>
          <w:ilvl w:val="2"/>
          <w:numId w:val="3"/>
        </w:numPr>
      </w:pPr>
      <w:r>
        <w:t>En las instituciones (MINEDUC, MSPAS, otras)</w:t>
      </w:r>
    </w:p>
    <w:p w14:paraId="52FFA905" w14:textId="77777777" w:rsidR="0088201B" w:rsidRDefault="00000000">
      <w:pPr>
        <w:pStyle w:val="Prrafodelista"/>
        <w:numPr>
          <w:ilvl w:val="2"/>
          <w:numId w:val="3"/>
        </w:numPr>
      </w:pPr>
      <w:r>
        <w:t>Estrategias pedagógicas y experiencias en las aulas y fuera de la escuela, prevención de violencia y formación en valores.</w:t>
      </w:r>
    </w:p>
    <w:p w14:paraId="6D72B9A3" w14:textId="77777777" w:rsidR="0088201B" w:rsidRDefault="00000000">
      <w:pPr>
        <w:pStyle w:val="Prrafodelista"/>
        <w:numPr>
          <w:ilvl w:val="2"/>
          <w:numId w:val="3"/>
        </w:numPr>
      </w:pPr>
      <w:r>
        <w:t>Iniciativas desde el arte y los deportes para abordar la EIS</w:t>
      </w:r>
    </w:p>
    <w:p w14:paraId="6E2478A9" w14:textId="77777777" w:rsidR="0088201B" w:rsidRDefault="00000000">
      <w:pPr>
        <w:pStyle w:val="Prrafodelista"/>
        <w:numPr>
          <w:ilvl w:val="2"/>
          <w:numId w:val="3"/>
        </w:numPr>
      </w:pPr>
      <w:r>
        <w:t>A nivel comunitario y en los territorios</w:t>
      </w:r>
    </w:p>
    <w:p w14:paraId="03891133" w14:textId="77777777" w:rsidR="0088201B" w:rsidRDefault="00000000">
      <w:pPr>
        <w:pStyle w:val="Prrafodelista"/>
        <w:numPr>
          <w:ilvl w:val="0"/>
          <w:numId w:val="3"/>
        </w:numPr>
      </w:pPr>
      <w:r>
        <w:t>Salud sexual y reproductiva: Derechos, avances médicos, acceso a servicios.</w:t>
      </w:r>
    </w:p>
    <w:p w14:paraId="1BBDDF48" w14:textId="5D2F1CEA" w:rsidR="0088201B" w:rsidRDefault="00000000">
      <w:pPr>
        <w:pStyle w:val="Prrafodelista"/>
        <w:numPr>
          <w:ilvl w:val="0"/>
          <w:numId w:val="3"/>
        </w:numPr>
      </w:pPr>
      <w:r>
        <w:t>Diversidad y género: Identidades de género, orientación sexual, inclusión y derechos humanos.</w:t>
      </w:r>
      <w:r w:rsidR="004A72EA">
        <w:t xml:space="preserve"> Entre lo conceptual y lo político.</w:t>
      </w:r>
    </w:p>
    <w:p w14:paraId="3A0AC9F8" w14:textId="77777777" w:rsidR="0088201B" w:rsidRDefault="00000000">
      <w:pPr>
        <w:pStyle w:val="Prrafodelista"/>
        <w:numPr>
          <w:ilvl w:val="0"/>
          <w:numId w:val="3"/>
        </w:numPr>
      </w:pPr>
      <w:r>
        <w:t>Violencias: sexual, simbólica, institucional</w:t>
      </w:r>
    </w:p>
    <w:p w14:paraId="3F17BF86" w14:textId="77777777" w:rsidR="0088201B" w:rsidRDefault="00000000">
      <w:pPr>
        <w:pStyle w:val="Prrafodelista"/>
        <w:numPr>
          <w:ilvl w:val="1"/>
          <w:numId w:val="3"/>
        </w:numPr>
      </w:pPr>
      <w:r>
        <w:t>Situación (datos)</w:t>
      </w:r>
    </w:p>
    <w:p w14:paraId="771094C7" w14:textId="77777777" w:rsidR="0088201B" w:rsidRDefault="00000000">
      <w:pPr>
        <w:pStyle w:val="Prrafodelista"/>
        <w:numPr>
          <w:ilvl w:val="1"/>
          <w:numId w:val="3"/>
        </w:numPr>
      </w:pPr>
      <w:r>
        <w:lastRenderedPageBreak/>
        <w:t>Aportes para su comprensión (análisis cualitativos)</w:t>
      </w:r>
    </w:p>
    <w:p w14:paraId="00EF90CE" w14:textId="77777777" w:rsidR="0088201B" w:rsidRDefault="00000000">
      <w:pPr>
        <w:pStyle w:val="Prrafodelista"/>
        <w:numPr>
          <w:ilvl w:val="1"/>
          <w:numId w:val="3"/>
        </w:numPr>
      </w:pPr>
      <w:r>
        <w:t>Iniciativas para prevenir, sancionar y erradicar (papel de las instituciones)</w:t>
      </w:r>
    </w:p>
    <w:p w14:paraId="7A28A43D" w14:textId="77777777" w:rsidR="0088201B" w:rsidRDefault="0088201B">
      <w:pPr>
        <w:pStyle w:val="Prrafodelista"/>
        <w:ind w:left="1440"/>
      </w:pPr>
    </w:p>
    <w:p w14:paraId="07E64ACE" w14:textId="77777777" w:rsidR="0088201B" w:rsidRDefault="00000000">
      <w:pPr>
        <w:pStyle w:val="Prrafodelista"/>
        <w:numPr>
          <w:ilvl w:val="0"/>
          <w:numId w:val="1"/>
        </w:numPr>
      </w:pPr>
      <w:r>
        <w:t>Sexualidad: arte, lenguaje y medios</w:t>
      </w:r>
    </w:p>
    <w:p w14:paraId="7A6D064F" w14:textId="77777777" w:rsidR="0088201B" w:rsidRDefault="00000000">
      <w:pPr>
        <w:pStyle w:val="Prrafodelista"/>
        <w:numPr>
          <w:ilvl w:val="0"/>
          <w:numId w:val="4"/>
        </w:numPr>
      </w:pPr>
      <w:r>
        <w:t>El lenguaje que pretende ocultar y los discursos basados en prejuicios, en los medios, en las redes sociales</w:t>
      </w:r>
    </w:p>
    <w:p w14:paraId="531C703D" w14:textId="03D1F822" w:rsidR="0088201B" w:rsidRDefault="00000000">
      <w:pPr>
        <w:pStyle w:val="Prrafodelista"/>
        <w:numPr>
          <w:ilvl w:val="0"/>
          <w:numId w:val="4"/>
        </w:numPr>
      </w:pPr>
      <w:r>
        <w:rPr>
          <w:rFonts w:eastAsia="Times New Roman"/>
          <w:color w:val="000000"/>
        </w:rPr>
        <w:t xml:space="preserve">La información es poder: herramientas </w:t>
      </w:r>
      <w:r w:rsidR="004A72EA">
        <w:rPr>
          <w:rFonts w:eastAsia="Times New Roman"/>
          <w:color w:val="000000"/>
        </w:rPr>
        <w:t xml:space="preserve">(datos, contenidos comunicacionales, en diferentes formatos) </w:t>
      </w:r>
      <w:r>
        <w:rPr>
          <w:rFonts w:eastAsia="Times New Roman"/>
          <w:color w:val="000000"/>
        </w:rPr>
        <w:t>para incidir</w:t>
      </w:r>
    </w:p>
    <w:p w14:paraId="71C3AA66" w14:textId="45340917" w:rsidR="0088201B" w:rsidRDefault="00000000" w:rsidP="004A72EA">
      <w:pPr>
        <w:pStyle w:val="Prrafodelista"/>
        <w:numPr>
          <w:ilvl w:val="0"/>
          <w:numId w:val="4"/>
        </w:numPr>
      </w:pPr>
      <w:r>
        <w:rPr>
          <w:rFonts w:eastAsia="Times New Roman"/>
          <w:color w:val="000000"/>
        </w:rPr>
        <w:t>Iniciativas para expresar, abordar la sexualidad a través del arte: música, literatura, performance, teatro, pintura, danza</w:t>
      </w:r>
      <w:r w:rsidR="004A72EA">
        <w:rPr>
          <w:rFonts w:eastAsia="Times New Roman"/>
          <w:color w:val="000000"/>
        </w:rPr>
        <w:t xml:space="preserve"> (talleres)</w:t>
      </w:r>
    </w:p>
    <w:p w14:paraId="45567F71" w14:textId="77777777" w:rsidR="0088201B" w:rsidRDefault="0088201B">
      <w:pPr>
        <w:pStyle w:val="Prrafodelista"/>
      </w:pPr>
    </w:p>
    <w:p w14:paraId="429045CA" w14:textId="77777777" w:rsidR="0088201B" w:rsidRDefault="00000000">
      <w:pPr>
        <w:rPr>
          <w:b/>
          <w:bCs/>
        </w:rPr>
      </w:pPr>
      <w:r>
        <w:rPr>
          <w:b/>
          <w:bCs/>
        </w:rPr>
        <w:t>Metodología</w:t>
      </w:r>
    </w:p>
    <w:p w14:paraId="08220F60" w14:textId="77777777" w:rsidR="0088201B" w:rsidRDefault="00000000">
      <w:pPr>
        <w:pStyle w:val="Prrafodelista"/>
        <w:numPr>
          <w:ilvl w:val="0"/>
          <w:numId w:val="5"/>
        </w:numPr>
      </w:pPr>
      <w:r>
        <w:t>Dirigido a: integrantes de la MENEIS y de organizaciones con fines similares, colectivas, asociaciones, entidades académicas, personal estatal de diversas dependencias.</w:t>
      </w:r>
    </w:p>
    <w:p w14:paraId="07F0FED8" w14:textId="77777777" w:rsidR="0088201B" w:rsidRDefault="00000000">
      <w:pPr>
        <w:numPr>
          <w:ilvl w:val="0"/>
          <w:numId w:val="6"/>
        </w:numPr>
        <w:spacing w:line="240" w:lineRule="auto"/>
      </w:pPr>
      <w:r>
        <w:t>Inicio del congreso: 12 de Noviembre de 2025</w:t>
      </w:r>
    </w:p>
    <w:p w14:paraId="436D4F7A" w14:textId="77777777" w:rsidR="0088201B" w:rsidRDefault="00000000">
      <w:pPr>
        <w:numPr>
          <w:ilvl w:val="0"/>
          <w:numId w:val="6"/>
        </w:numPr>
        <w:spacing w:line="240" w:lineRule="auto"/>
      </w:pPr>
      <w:r>
        <w:t>Fecha fin del congreso: 14 de Noviembre de 2025</w:t>
      </w:r>
    </w:p>
    <w:p w14:paraId="538EDF33" w14:textId="77777777" w:rsidR="0088201B" w:rsidRDefault="00000000">
      <w:pPr>
        <w:numPr>
          <w:ilvl w:val="0"/>
          <w:numId w:val="6"/>
        </w:numPr>
        <w:spacing w:line="240" w:lineRule="auto"/>
      </w:pPr>
      <w:r>
        <w:t xml:space="preserve">Tipo de congreso:  Social y Académico </w:t>
      </w:r>
    </w:p>
    <w:p w14:paraId="0F5D8FF0" w14:textId="77777777" w:rsidR="0088201B" w:rsidRDefault="00000000">
      <w:pPr>
        <w:numPr>
          <w:ilvl w:val="0"/>
          <w:numId w:val="6"/>
        </w:numPr>
        <w:spacing w:line="240" w:lineRule="auto"/>
      </w:pPr>
      <w:r>
        <w:t>Ciudad y País del Evento: Guatemala</w:t>
      </w:r>
    </w:p>
    <w:p w14:paraId="483B8349" w14:textId="77777777" w:rsidR="0088201B" w:rsidRDefault="00000000">
      <w:pPr>
        <w:numPr>
          <w:ilvl w:val="0"/>
          <w:numId w:val="6"/>
        </w:numPr>
        <w:spacing w:line="240" w:lineRule="auto"/>
      </w:pPr>
      <w:r>
        <w:t xml:space="preserve">Modalidades Presenciales: </w:t>
      </w:r>
    </w:p>
    <w:p w14:paraId="4AAE5916" w14:textId="2AC1BD27" w:rsidR="004A72EA" w:rsidRDefault="004A72EA" w:rsidP="004A72EA">
      <w:pPr>
        <w:pStyle w:val="Prrafodelista"/>
        <w:numPr>
          <w:ilvl w:val="0"/>
          <w:numId w:val="7"/>
        </w:numPr>
        <w:spacing w:line="240" w:lineRule="auto"/>
      </w:pPr>
      <w:r>
        <w:t>Conferencias</w:t>
      </w:r>
    </w:p>
    <w:p w14:paraId="54BC421F" w14:textId="77777777" w:rsidR="0088201B" w:rsidRDefault="00000000">
      <w:pPr>
        <w:pStyle w:val="Prrafodelista"/>
        <w:numPr>
          <w:ilvl w:val="0"/>
          <w:numId w:val="8"/>
        </w:numPr>
        <w:spacing w:line="240" w:lineRule="auto"/>
      </w:pPr>
      <w:r>
        <w:t>Ponencias (entre narrativas de experiencias y académicas)</w:t>
      </w:r>
    </w:p>
    <w:p w14:paraId="540CD75B" w14:textId="5A4BBF8C" w:rsidR="004A72EA" w:rsidRDefault="00000000">
      <w:r>
        <w:t xml:space="preserve"> </w:t>
      </w:r>
      <w:r>
        <w:tab/>
      </w:r>
      <w:r>
        <w:tab/>
      </w:r>
      <w:r>
        <w:tab/>
        <w:t>Organizar mesas temáticas simultánea</w:t>
      </w:r>
      <w:r w:rsidR="004A72EA">
        <w:t>s</w:t>
      </w:r>
    </w:p>
    <w:p w14:paraId="4F909240" w14:textId="4CA08755" w:rsidR="004A72EA" w:rsidRDefault="004A72EA" w:rsidP="004A72EA">
      <w:pPr>
        <w:pStyle w:val="Prrafodelista"/>
        <w:numPr>
          <w:ilvl w:val="0"/>
          <w:numId w:val="10"/>
        </w:numPr>
      </w:pPr>
      <w:r>
        <w:t>Talleres lúdico-</w:t>
      </w:r>
      <w:proofErr w:type="spellStart"/>
      <w:r>
        <w:t>sentipensantes</w:t>
      </w:r>
      <w:proofErr w:type="spellEnd"/>
    </w:p>
    <w:p w14:paraId="73CB9C69" w14:textId="77777777" w:rsidR="0088201B" w:rsidRDefault="00000000">
      <w:pPr>
        <w:numPr>
          <w:ilvl w:val="1"/>
          <w:numId w:val="6"/>
        </w:numPr>
        <w:spacing w:line="240" w:lineRule="auto"/>
      </w:pPr>
      <w:r>
        <w:t>Presentación de libros/Publicaciones</w:t>
      </w:r>
    </w:p>
    <w:p w14:paraId="1A872CC8" w14:textId="77777777" w:rsidR="0088201B" w:rsidRDefault="00000000">
      <w:pPr>
        <w:numPr>
          <w:ilvl w:val="1"/>
          <w:numId w:val="6"/>
        </w:numPr>
        <w:spacing w:line="240" w:lineRule="auto"/>
      </w:pPr>
      <w:r>
        <w:t>Feria de materiales</w:t>
      </w:r>
    </w:p>
    <w:p w14:paraId="653C6892" w14:textId="77777777" w:rsidR="0088201B" w:rsidRDefault="00000000">
      <w:pPr>
        <w:numPr>
          <w:ilvl w:val="0"/>
          <w:numId w:val="6"/>
        </w:numPr>
        <w:spacing w:line="240" w:lineRule="auto"/>
      </w:pPr>
      <w:r>
        <w:t>Modalidades No Presenciales: Videoconferencias. Videoponencias.</w:t>
      </w:r>
    </w:p>
    <w:p w14:paraId="4D8C2D2A" w14:textId="18D8766C" w:rsidR="0088201B" w:rsidRDefault="00000000">
      <w:pPr>
        <w:numPr>
          <w:ilvl w:val="0"/>
          <w:numId w:val="6"/>
        </w:numPr>
        <w:spacing w:line="240" w:lineRule="auto"/>
      </w:pPr>
      <w:r>
        <w:t xml:space="preserve">Idioma: </w:t>
      </w:r>
      <w:proofErr w:type="gramStart"/>
      <w:r>
        <w:t>Español</w:t>
      </w:r>
      <w:r w:rsidR="004A72EA">
        <w:t xml:space="preserve">  y</w:t>
      </w:r>
      <w:proofErr w:type="gramEnd"/>
      <w:r w:rsidR="004A72EA">
        <w:t xml:space="preserve"> posiblemente lengua de señas</w:t>
      </w:r>
    </w:p>
    <w:p w14:paraId="6E70A3CB" w14:textId="77777777" w:rsidR="0088201B" w:rsidRDefault="0088201B">
      <w:pPr>
        <w:rPr>
          <w:b/>
          <w:bCs/>
        </w:rPr>
      </w:pPr>
    </w:p>
    <w:p w14:paraId="40B165F0" w14:textId="7F615E15" w:rsidR="0088201B" w:rsidRDefault="00000000">
      <w:pPr>
        <w:rPr>
          <w:b/>
          <w:bCs/>
        </w:rPr>
      </w:pPr>
      <w:r>
        <w:rPr>
          <w:b/>
          <w:bCs/>
        </w:rPr>
        <w:t>Recursos:</w:t>
      </w:r>
      <w:r w:rsidR="004A72EA">
        <w:rPr>
          <w:b/>
          <w:bCs/>
        </w:rPr>
        <w:t xml:space="preserve">  se están gestionando</w:t>
      </w:r>
    </w:p>
    <w:p w14:paraId="5E105429" w14:textId="1FAE5BF4" w:rsidR="004A72EA" w:rsidRPr="00D933B2" w:rsidRDefault="004A72EA">
      <w:r>
        <w:rPr>
          <w:b/>
          <w:bCs/>
        </w:rPr>
        <w:t>Organización</w:t>
      </w:r>
      <w:r w:rsidRPr="00D933B2">
        <w:t xml:space="preserve">:  Ana Silvia Monzón, Emma López, Ana Lucía Ramazzini, Gabriela Muñoz, Erick </w:t>
      </w:r>
      <w:proofErr w:type="spellStart"/>
      <w:r w:rsidRPr="00D933B2">
        <w:t>Pocasangre</w:t>
      </w:r>
      <w:proofErr w:type="spellEnd"/>
      <w:r w:rsidRPr="00D933B2">
        <w:t xml:space="preserve">, Herberth </w:t>
      </w:r>
      <w:r w:rsidR="00114297" w:rsidRPr="00D933B2">
        <w:t xml:space="preserve">Bran, </w:t>
      </w:r>
      <w:r w:rsidR="00D933B2">
        <w:t>Lineth..</w:t>
      </w:r>
    </w:p>
    <w:p w14:paraId="2C62A250" w14:textId="77777777" w:rsidR="0088201B" w:rsidRPr="00D933B2" w:rsidRDefault="0088201B"/>
    <w:sectPr w:rsidR="0088201B" w:rsidRPr="00D933B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E021" w14:textId="77777777" w:rsidR="00110C9C" w:rsidRDefault="00110C9C">
      <w:pPr>
        <w:spacing w:line="240" w:lineRule="auto"/>
      </w:pPr>
      <w:r>
        <w:separator/>
      </w:r>
    </w:p>
  </w:endnote>
  <w:endnote w:type="continuationSeparator" w:id="0">
    <w:p w14:paraId="3E00DB9F" w14:textId="77777777" w:rsidR="00110C9C" w:rsidRDefault="00110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82048"/>
      <w:docPartObj>
        <w:docPartGallery w:val="AutoText"/>
      </w:docPartObj>
    </w:sdtPr>
    <w:sdtContent>
      <w:p w14:paraId="4EDDA9D2" w14:textId="77777777" w:rsidR="0088201B" w:rsidRDefault="00000000">
        <w:pPr>
          <w:pStyle w:val="Piedepgina"/>
          <w:jc w:val="center"/>
        </w:pPr>
        <w:r>
          <w:fldChar w:fldCharType="begin"/>
        </w:r>
        <w:r>
          <w:instrText>PAGE   \* MERGEFORMAT</w:instrText>
        </w:r>
        <w:r>
          <w:fldChar w:fldCharType="separate"/>
        </w:r>
        <w:r>
          <w:rPr>
            <w:lang w:val="es-ES"/>
          </w:rPr>
          <w:t>2</w:t>
        </w:r>
        <w:r>
          <w:fldChar w:fldCharType="end"/>
        </w:r>
      </w:p>
    </w:sdtContent>
  </w:sdt>
  <w:p w14:paraId="68FD4F48" w14:textId="77777777" w:rsidR="0088201B" w:rsidRDefault="008820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BF97" w14:textId="77777777" w:rsidR="00110C9C" w:rsidRDefault="00110C9C">
      <w:pPr>
        <w:spacing w:after="0"/>
      </w:pPr>
      <w:r>
        <w:separator/>
      </w:r>
    </w:p>
  </w:footnote>
  <w:footnote w:type="continuationSeparator" w:id="0">
    <w:p w14:paraId="478008AF" w14:textId="77777777" w:rsidR="00110C9C" w:rsidRDefault="00110C9C">
      <w:pPr>
        <w:spacing w:after="0"/>
      </w:pPr>
      <w:r>
        <w:continuationSeparator/>
      </w:r>
    </w:p>
  </w:footnote>
  <w:footnote w:id="1">
    <w:p w14:paraId="59F3D282" w14:textId="79A3DAFF" w:rsidR="0088201B" w:rsidRDefault="00000000">
      <w:pPr>
        <w:pStyle w:val="Textonotapie"/>
      </w:pPr>
      <w:r>
        <w:rPr>
          <w:rStyle w:val="Refdenotaalpie"/>
        </w:rPr>
        <w:footnoteRef/>
      </w:r>
      <w:r>
        <w:t xml:space="preserve"> Ana Silvia Monzón,</w:t>
      </w:r>
      <w:r w:rsidR="00D933B2">
        <w:t xml:space="preserve"> con aportes del Comité Impulso de la MENEIS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82"/>
    <w:multiLevelType w:val="multilevel"/>
    <w:tmpl w:val="02371A8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646636F"/>
    <w:multiLevelType w:val="multilevel"/>
    <w:tmpl w:val="064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379AE"/>
    <w:multiLevelType w:val="hybridMultilevel"/>
    <w:tmpl w:val="C4FCACA8"/>
    <w:lvl w:ilvl="0" w:tplc="100A0003">
      <w:start w:val="1"/>
      <w:numFmt w:val="bullet"/>
      <w:lvlText w:val="o"/>
      <w:lvlJc w:val="left"/>
      <w:pPr>
        <w:ind w:left="1572" w:hanging="360"/>
      </w:pPr>
      <w:rPr>
        <w:rFonts w:ascii="Courier New" w:hAnsi="Courier New" w:cs="Courier New" w:hint="default"/>
      </w:rPr>
    </w:lvl>
    <w:lvl w:ilvl="1" w:tplc="100A0003" w:tentative="1">
      <w:start w:val="1"/>
      <w:numFmt w:val="bullet"/>
      <w:lvlText w:val="o"/>
      <w:lvlJc w:val="left"/>
      <w:pPr>
        <w:ind w:left="2292" w:hanging="360"/>
      </w:pPr>
      <w:rPr>
        <w:rFonts w:ascii="Courier New" w:hAnsi="Courier New" w:cs="Courier New" w:hint="default"/>
      </w:rPr>
    </w:lvl>
    <w:lvl w:ilvl="2" w:tplc="100A0005" w:tentative="1">
      <w:start w:val="1"/>
      <w:numFmt w:val="bullet"/>
      <w:lvlText w:val=""/>
      <w:lvlJc w:val="left"/>
      <w:pPr>
        <w:ind w:left="3012" w:hanging="360"/>
      </w:pPr>
      <w:rPr>
        <w:rFonts w:ascii="Wingdings" w:hAnsi="Wingdings" w:hint="default"/>
      </w:rPr>
    </w:lvl>
    <w:lvl w:ilvl="3" w:tplc="100A0001" w:tentative="1">
      <w:start w:val="1"/>
      <w:numFmt w:val="bullet"/>
      <w:lvlText w:val=""/>
      <w:lvlJc w:val="left"/>
      <w:pPr>
        <w:ind w:left="3732" w:hanging="360"/>
      </w:pPr>
      <w:rPr>
        <w:rFonts w:ascii="Symbol" w:hAnsi="Symbol" w:hint="default"/>
      </w:rPr>
    </w:lvl>
    <w:lvl w:ilvl="4" w:tplc="100A0003" w:tentative="1">
      <w:start w:val="1"/>
      <w:numFmt w:val="bullet"/>
      <w:lvlText w:val="o"/>
      <w:lvlJc w:val="left"/>
      <w:pPr>
        <w:ind w:left="4452" w:hanging="360"/>
      </w:pPr>
      <w:rPr>
        <w:rFonts w:ascii="Courier New" w:hAnsi="Courier New" w:cs="Courier New" w:hint="default"/>
      </w:rPr>
    </w:lvl>
    <w:lvl w:ilvl="5" w:tplc="100A0005" w:tentative="1">
      <w:start w:val="1"/>
      <w:numFmt w:val="bullet"/>
      <w:lvlText w:val=""/>
      <w:lvlJc w:val="left"/>
      <w:pPr>
        <w:ind w:left="5172" w:hanging="360"/>
      </w:pPr>
      <w:rPr>
        <w:rFonts w:ascii="Wingdings" w:hAnsi="Wingdings" w:hint="default"/>
      </w:rPr>
    </w:lvl>
    <w:lvl w:ilvl="6" w:tplc="100A0001" w:tentative="1">
      <w:start w:val="1"/>
      <w:numFmt w:val="bullet"/>
      <w:lvlText w:val=""/>
      <w:lvlJc w:val="left"/>
      <w:pPr>
        <w:ind w:left="5892" w:hanging="360"/>
      </w:pPr>
      <w:rPr>
        <w:rFonts w:ascii="Symbol" w:hAnsi="Symbol" w:hint="default"/>
      </w:rPr>
    </w:lvl>
    <w:lvl w:ilvl="7" w:tplc="100A0003" w:tentative="1">
      <w:start w:val="1"/>
      <w:numFmt w:val="bullet"/>
      <w:lvlText w:val="o"/>
      <w:lvlJc w:val="left"/>
      <w:pPr>
        <w:ind w:left="6612" w:hanging="360"/>
      </w:pPr>
      <w:rPr>
        <w:rFonts w:ascii="Courier New" w:hAnsi="Courier New" w:cs="Courier New" w:hint="default"/>
      </w:rPr>
    </w:lvl>
    <w:lvl w:ilvl="8" w:tplc="100A0005" w:tentative="1">
      <w:start w:val="1"/>
      <w:numFmt w:val="bullet"/>
      <w:lvlText w:val=""/>
      <w:lvlJc w:val="left"/>
      <w:pPr>
        <w:ind w:left="7332" w:hanging="360"/>
      </w:pPr>
      <w:rPr>
        <w:rFonts w:ascii="Wingdings" w:hAnsi="Wingdings" w:hint="default"/>
      </w:rPr>
    </w:lvl>
  </w:abstractNum>
  <w:abstractNum w:abstractNumId="3" w15:restartNumberingAfterBreak="0">
    <w:nsid w:val="17C2284D"/>
    <w:multiLevelType w:val="multilevel"/>
    <w:tmpl w:val="17C2284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7063DA5"/>
    <w:multiLevelType w:val="multilevel"/>
    <w:tmpl w:val="27063D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CDC081D"/>
    <w:multiLevelType w:val="multilevel"/>
    <w:tmpl w:val="3CDC081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2296162"/>
    <w:multiLevelType w:val="multilevel"/>
    <w:tmpl w:val="422961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48C1423"/>
    <w:multiLevelType w:val="multilevel"/>
    <w:tmpl w:val="648C142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62C366B"/>
    <w:multiLevelType w:val="multilevel"/>
    <w:tmpl w:val="762C3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5C0A97"/>
    <w:multiLevelType w:val="hybridMultilevel"/>
    <w:tmpl w:val="FEBC3344"/>
    <w:lvl w:ilvl="0" w:tplc="100A0003">
      <w:start w:val="1"/>
      <w:numFmt w:val="bullet"/>
      <w:lvlText w:val="o"/>
      <w:lvlJc w:val="left"/>
      <w:pPr>
        <w:ind w:left="1440" w:hanging="360"/>
      </w:pPr>
      <w:rPr>
        <w:rFonts w:ascii="Courier New" w:hAnsi="Courier New" w:cs="Courier New"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num w:numId="1" w16cid:durableId="1722242287">
    <w:abstractNumId w:val="8"/>
  </w:num>
  <w:num w:numId="2" w16cid:durableId="1446583271">
    <w:abstractNumId w:val="6"/>
  </w:num>
  <w:num w:numId="3" w16cid:durableId="1598364663">
    <w:abstractNumId w:val="7"/>
  </w:num>
  <w:num w:numId="4" w16cid:durableId="480779237">
    <w:abstractNumId w:val="5"/>
  </w:num>
  <w:num w:numId="5" w16cid:durableId="1719665109">
    <w:abstractNumId w:val="1"/>
  </w:num>
  <w:num w:numId="6" w16cid:durableId="1630817913">
    <w:abstractNumId w:val="4"/>
  </w:num>
  <w:num w:numId="7" w16cid:durableId="16590272">
    <w:abstractNumId w:val="0"/>
  </w:num>
  <w:num w:numId="8" w16cid:durableId="793330878">
    <w:abstractNumId w:val="3"/>
  </w:num>
  <w:num w:numId="9" w16cid:durableId="1090080423">
    <w:abstractNumId w:val="2"/>
  </w:num>
  <w:num w:numId="10" w16cid:durableId="1998069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ED"/>
    <w:rsid w:val="000032D0"/>
    <w:rsid w:val="00024621"/>
    <w:rsid w:val="000E64F0"/>
    <w:rsid w:val="00110C9C"/>
    <w:rsid w:val="00114297"/>
    <w:rsid w:val="001558DC"/>
    <w:rsid w:val="001C5CCB"/>
    <w:rsid w:val="0029325D"/>
    <w:rsid w:val="0029631F"/>
    <w:rsid w:val="00315B75"/>
    <w:rsid w:val="00347AFB"/>
    <w:rsid w:val="003C62EA"/>
    <w:rsid w:val="00423B5E"/>
    <w:rsid w:val="0043313A"/>
    <w:rsid w:val="004A4A12"/>
    <w:rsid w:val="004A72EA"/>
    <w:rsid w:val="005A60DB"/>
    <w:rsid w:val="0066780A"/>
    <w:rsid w:val="00683E9D"/>
    <w:rsid w:val="006B23C7"/>
    <w:rsid w:val="006F4C29"/>
    <w:rsid w:val="00794543"/>
    <w:rsid w:val="007F4FFA"/>
    <w:rsid w:val="008057F1"/>
    <w:rsid w:val="00805AD9"/>
    <w:rsid w:val="008774D8"/>
    <w:rsid w:val="0088201B"/>
    <w:rsid w:val="008925C1"/>
    <w:rsid w:val="008A2E39"/>
    <w:rsid w:val="008D3C2D"/>
    <w:rsid w:val="0097387B"/>
    <w:rsid w:val="0099319B"/>
    <w:rsid w:val="009C217E"/>
    <w:rsid w:val="009E326F"/>
    <w:rsid w:val="00B76477"/>
    <w:rsid w:val="00BA3673"/>
    <w:rsid w:val="00C21BBE"/>
    <w:rsid w:val="00CA7F30"/>
    <w:rsid w:val="00D73CED"/>
    <w:rsid w:val="00D76A09"/>
    <w:rsid w:val="00D933B2"/>
    <w:rsid w:val="00DA7CE8"/>
    <w:rsid w:val="00DF2062"/>
    <w:rsid w:val="00E7153F"/>
    <w:rsid w:val="00EE18C6"/>
    <w:rsid w:val="00F02702"/>
    <w:rsid w:val="00F1240A"/>
    <w:rsid w:val="00F44B67"/>
    <w:rsid w:val="7FB32120"/>
  </w:rsids>
  <m:mathPr>
    <m:mathFont m:val="Cambria Math"/>
    <m:brkBin m:val="before"/>
    <m:brkBinSub m:val="--"/>
    <m:smallFrac m:val="0"/>
    <m:dispDef/>
    <m:lMargin m:val="0"/>
    <m:rMargin m:val="0"/>
    <m:defJc m:val="centerGroup"/>
    <m:wrapIndent m:val="1440"/>
    <m:intLim m:val="subSup"/>
    <m:naryLim m:val="undOvr"/>
  </m:mathPr>
  <w:themeFontLang w:val="es-G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5CAF"/>
  <w15:docId w15:val="{C7A2A7EB-D744-41FE-9D5F-197396C3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uiPriority w:val="99"/>
    <w:semiHidden/>
    <w:rPr>
      <w:sz w:val="20"/>
      <w:szCs w:val="20"/>
    </w:rPr>
  </w:style>
  <w:style w:type="paragraph" w:customStyle="1" w:styleId="Revisin1">
    <w:name w:val="Revisión1"/>
    <w:hidden/>
    <w:uiPriority w:val="99"/>
    <w:semiHidden/>
    <w:rPr>
      <w:kern w:val="2"/>
      <w:sz w:val="22"/>
      <w:szCs w:val="22"/>
      <w:lang w:eastAsia="en-US"/>
      <w14:ligatures w14:val="standardContextual"/>
    </w:rPr>
  </w:style>
  <w:style w:type="character" w:customStyle="1" w:styleId="TextocomentarioCar">
    <w:name w:val="Texto comentario Car"/>
    <w:basedOn w:val="Fuentedeprrafopredeter"/>
    <w:link w:val="Textocomentario"/>
    <w:uiPriority w:val="99"/>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9AB5-A833-46CD-9B73-573978BC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1605</Words>
  <Characters>8830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Silvia Monzón</dc:creator>
  <cp:lastModifiedBy>Ana Silvia Monzón</cp:lastModifiedBy>
  <cp:revision>2</cp:revision>
  <dcterms:created xsi:type="dcterms:W3CDTF">2025-06-02T04:51:00Z</dcterms:created>
  <dcterms:modified xsi:type="dcterms:W3CDTF">2025-06-02T04:51:00Z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CDA1284737464FBBB99F63B7A589E371_13</vt:lpwstr>
  </property>
</Properties>
</file>